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200" w:before="600"/>
        <w:jc w:val="center"/>
      </w:pPr>
      <w:r>
        <w:drawing>
          <wp:inline distT="0" distB="0" distL="0" distR="0">
            <wp:extent cx="1152525" cy="962025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0"/>
        <w:jc w:val="center"/>
      </w:pPr>
      <w:r>
        <w:rPr>
          <w:rFonts w:ascii="Arial" w:cs="Arial" w:eastAsia="Arial" w:hAnsi="Arial"/>
          <w:b/>
          <w:bCs/>
          <w:color w:val="1F2A33"/>
          <w:sz w:val="56"/>
          <w:szCs w:val="56"/>
        </w:rPr>
        <w:t xml:space="preserve">МОТО-КОЛУН</w:t>
      </w:r>
    </w:p>
    <w:p>
      <w:pPr>
        <w:spacing w:after="40"/>
        <w:jc w:val="center"/>
      </w:pPr>
      <w:r>
        <w:rPr>
          <w:rFonts w:ascii="Arial" w:cs="Arial" w:eastAsia="Arial" w:hAnsi="Arial"/>
          <w:color w:val="2E5266"/>
          <w:sz w:val="26"/>
          <w:szCs w:val="26"/>
        </w:rPr>
        <w:t xml:space="preserve">Винтовой конусный дровокол для мотоблока</w:t>
      </w:r>
    </w:p>
    <w:p>
      <w:pPr>
        <w:spacing w:after="360"/>
        <w:jc w:val="center"/>
      </w:pPr>
      <w:r>
        <w:rPr>
          <w:rFonts w:ascii="Arial" w:cs="Arial" w:eastAsia="Arial" w:hAnsi="Arial"/>
          <w:b/>
          <w:bCs/>
          <w:color w:val="5A6670"/>
          <w:spacing w:val="40"/>
          <w:sz w:val="24"/>
          <w:szCs w:val="24"/>
        </w:rPr>
        <w:t xml:space="preserve">РУКОВОДСТВО ПО ЭКСПЛУАТАЦИИ</w:t>
      </w:r>
    </w:p>
    <w:p>
      <w:pPr>
        <w:spacing w:after="360" w:before="120"/>
        <w:jc w:val="center"/>
      </w:pPr>
      <w:r>
        <w:drawing>
          <wp:inline distT="0" distB="0" distL="0" distR="0">
            <wp:extent cx="4676775" cy="3429000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0"/>
        <w:jc w:val="center"/>
      </w:pPr>
      <w:r>
        <w:rPr>
          <w:rFonts w:ascii="Arial" w:cs="Arial" w:eastAsia="Arial" w:hAnsi="Arial"/>
          <w:i/>
          <w:iCs/>
          <w:color w:val="5A6670"/>
          <w:sz w:val="20"/>
          <w:szCs w:val="20"/>
        </w:rPr>
        <w:t xml:space="preserve">Для бытового и производственного использования</w:t>
      </w:r>
    </w:p>
    <w:p>
      <w:pPr>
        <w:spacing w:before="400"/>
        <w:jc w:val="center"/>
      </w:pPr>
      <w:r>
        <w:rPr>
          <w:rFonts w:ascii="Arial" w:cs="Arial" w:eastAsia="Arial" w:hAnsi="Arial"/>
          <w:color w:val="1F2A33"/>
          <w:sz w:val="20"/>
          <w:szCs w:val="20"/>
        </w:rPr>
        <w:t xml:space="preserve">Верхняя Пышма · 2026</w:t>
      </w:r>
    </w:p>
    <w:p>
      <w:r>
        <w:br w:type="page"/>
      </w:r>
    </w:p>
    <w:p>
      <w:pPr>
        <w:pBdr>
          <w:bottom w:val="single" w:color="2E5266" w:sz="12" w:space="6"/>
        </w:pBdr>
        <w:spacing w:after="20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СОДЕРЖАНИЕ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1.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Назначение и область применения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3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2.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Технические характеристики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3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3.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Комплектация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4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4.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Требования безопасности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4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5.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Подготовка к работе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5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6.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Порядок работы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6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7.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Техническое обслуживание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7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8.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Поиск и устранение неисправностей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7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9.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Транспортировка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7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10.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Хранение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7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11.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Реализация и утилизация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7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12.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Срок службы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8</w:t>
      </w:r>
    </w:p>
    <w:p>
      <w:pPr>
        <w:tabs>
          <w:tab w:val="right" w:pos="9638" w:leader="dot"/>
        </w:tabs>
        <w:spacing w:after="9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13.  </w:t>
      </w:r>
      <w:r>
        <w:rPr>
          <w:rFonts w:ascii="Arial" w:cs="Arial" w:eastAsia="Arial" w:hAnsi="Arial"/>
          <w:color w:val="1F2A33"/>
          <w:sz w:val="22"/>
          <w:szCs w:val="22"/>
        </w:rPr>
        <w:t xml:space="preserve">Гарантийные обязательства</w:t>
      </w:r>
      <w:r>
        <w:rPr>
          <w:rFonts w:ascii="Arial" w:cs="Arial" w:eastAsia="Arial" w:hAnsi="Arial"/>
          <w:color w:val="5A6670"/>
          <w:sz w:val="22"/>
          <w:szCs w:val="22"/>
        </w:rPr>
        <w:t xml:space="preserve">	8</w:t>
      </w:r>
    </w:p>
    <w:p>
      <w:r>
        <w:br w:type="page"/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1.  Назначение и область применения</w:t>
      </w:r>
    </w:p>
    <w:p>
      <w:pPr>
        <w:spacing w:after="12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Винтовой дровокол «Мото-колун» предназначен для раскола чурок на несколько частей за счёт ввинчивания конусной насадки в древесину. Привод осуществляется от вала отбора мощности мотоблока.</w:t>
      </w:r>
    </w:p>
    <w:p>
      <w:pPr>
        <w:spacing w:after="4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Дополнительная обработка топором не требуется: поленья получаются нужной формы и размера и сразу готовы к использованию в топке. Изделие подходит как для частного, так и для мелкого производственного применения.</w:t>
      </w:r>
    </w:p>
    <w:p>
      <w:pPr>
        <w:spacing w:after="60" w:before="0"/>
        <w:jc w:val="center"/>
      </w:pPr>
      <w:r>
        <w:drawing>
          <wp:inline distT="0" distB="0" distL="0" distR="0">
            <wp:extent cx="3962400" cy="3171825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Arial" w:cs="Arial" w:eastAsia="Arial" w:hAnsi="Arial"/>
          <w:i/>
          <w:iCs/>
          <w:color w:val="5A6670"/>
          <w:sz w:val="18"/>
          <w:szCs w:val="18"/>
        </w:rPr>
        <w:t xml:space="preserve">Винтовой дровокол «Мото-колун» в рабочем положении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2.  Технические характеристики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400"/>
        <w:gridCol w:w="5238"/>
      </w:tblGrid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Тип устройства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винтовой дровокол (конусный)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Назначение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навеска на мотоблок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Привод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от вала мотоблока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Материал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сталь повышенной прочности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Рабочий элемент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конус с закалкой ТВЧ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Диаметр конуса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75 мм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Длина конуса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300 мм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Макс. диаметр полена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до 300–400 мм*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Длина полена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не ограничена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Производительность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до 3–5 м³/час*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Тип установки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навесной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Приводной элемент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маховик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Тип маховика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2 ручья, профиль А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Совместимость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большинство мотоблоков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Масса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35 кг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Страна производства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Россия</w:t>
            </w:r>
          </w:p>
        </w:tc>
      </w:tr>
    </w:tbl>
    <w:p>
      <w:pPr>
        <w:spacing w:before="120"/>
      </w:pPr>
      <w:r>
        <w:rPr>
          <w:rFonts w:ascii="Arial" w:cs="Arial" w:eastAsia="Arial" w:hAnsi="Arial"/>
          <w:i/>
          <w:iCs/>
          <w:color w:val="5A6670"/>
          <w:sz w:val="17"/>
          <w:szCs w:val="17"/>
        </w:rPr>
        <w:t xml:space="preserve">* Зависит от плотности древесины и мощности мотоблока.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3.  Комплектация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400"/>
        <w:gridCol w:w="5238"/>
      </w:tblGrid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Дровокол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1 шт.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Винт-колун (двухзаходный)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1 шт.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Ключ для расклинивания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1 шт.</w:t>
            </w:r>
          </w:p>
        </w:tc>
      </w:tr>
      <w:tr>
        <w:tc>
          <w:tcPr>
            <w:tcW w:type="dxa" w:w="4400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Руководство по эксплуатации</w:t>
            </w:r>
          </w:p>
        </w:tc>
        <w:tc>
          <w:tcPr>
            <w:tcW w:type="dxa" w:w="5238"/>
            <w:tcBorders>
              <w:top w:val="none"/>
              <w:left w:val="none"/>
              <w:bottom w:val="none"/>
              <w:right w:val="none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1 шт.</w:t>
            </w:r>
          </w:p>
        </w:tc>
      </w:tr>
    </w:tbl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4.  Требования безопасности</w:t>
      </w:r>
    </w:p>
    <w:p>
      <w:pPr>
        <w:spacing w:after="120" w:line="276"/>
        <w:jc w:val="both"/>
      </w:pPr>
      <w:r>
        <w:rPr>
          <w:rFonts w:ascii="Arial" w:cs="Arial" w:eastAsia="Arial" w:hAnsi="Arial"/>
          <w:b/>
          <w:bCs/>
          <w:color w:val="2B2B2B"/>
          <w:sz w:val="21"/>
          <w:szCs w:val="21"/>
        </w:rPr>
        <w:t xml:space="preserve">Перед началом эксплуатации внимательно изучите настоящее руководство. Несоблюдение правил может привести к тяжёлым травмам.</w:t>
      </w:r>
    </w:p>
    <w:p>
      <w:pPr>
        <w:spacing w:after="100"/>
      </w:pPr>
      <w:r>
        <w:rPr>
          <w:rFonts w:ascii="Arial" w:cs="Arial" w:eastAsia="Arial" w:hAnsi="Arial"/>
          <w:b/>
          <w:bCs/>
          <w:color w:val="2E5266"/>
          <w:sz w:val="23"/>
          <w:szCs w:val="23"/>
        </w:rPr>
        <w:t xml:space="preserve">Общие правила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К работе допускаются лица старше 18 лет, изучившие настоящее руководство.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Работайте в защитных очках. Не носите перчатки, украшения, шарфы и свободную одежду — их может захватить вращающийся конус.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На дровоколе работает только один оператор; посторонние должны находиться на безопасном расстоянии.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Используйте дровокол только по назначению и не перегружайте станок.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Проверяйте состояние узлов и креплений перед каждым запуском; при обнаружении повреждений эксплуатация запрещена.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Рабочее место должно быть чистым, сухим, ровным и хорошо освещённым.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Не используйте дровокол при повышенной влажности и на площадках с уклоном более 5°.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Колите бревно только сбоку — никогда с торца.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При заклинивании винта немедленно заглушите двигатель мотоблока и извлеките полено вручную при помощи ключа для расклинивания.</w:t>
      </w:r>
    </w:p>
    <w:p>
      <w:pPr>
        <w:spacing w:after="100" w:before="80"/>
      </w:pP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638"/>
      </w:tblGrid>
      <w:tr>
        <w:tc>
          <w:tcPr>
            <w:tcW w:type="dxa" w:w="9638"/>
            <w:tcBorders>
              <w:top w:val="single" w:color="C8102E" w:sz="4"/>
              <w:left w:val="single" w:color="C8102E" w:sz="18"/>
              <w:bottom w:val="single" w:color="C8102E" w:sz="4"/>
              <w:right w:val="single" w:color="C8102E" w:sz="4"/>
            </w:tcBorders>
            <w:shd w:fill="FBEAEC" w:val="clear"/>
            <w:tcMar>
              <w:top w:type="dxa" w:w="140"/>
              <w:left w:type="dxa" w:w="200"/>
              <w:bottom w:type="dxa" w:w="140"/>
              <w:right w:type="dxa" w:w="200"/>
            </w:tcMar>
          </w:tcPr>
          <w:p>
            <w:pPr>
              <w:spacing w:after="60"/>
            </w:pPr>
            <w:r>
              <w:rPr>
                <w:rFonts w:ascii="Arial" w:cs="Arial" w:eastAsia="Arial" w:hAnsi="Arial"/>
                <w:b/>
                <w:bCs/>
                <w:color w:val="C8102E"/>
                <w:sz w:val="22"/>
                <w:szCs w:val="22"/>
              </w:rPr>
              <w:t xml:space="preserve">⚠  Категорически запрещается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Использовать дровокол без защитных кожухов.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Работать в перчатках или свободной одежде.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Запускать двигатель мотоблока в закрытых помещениях — выхлопные газы опасны для жизни.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Передвигать мотоблок своим ходом с присоединённым дровоколом.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Работать в состоянии алкогольного или иного опьянения.</w:t>
            </w:r>
          </w:p>
        </w:tc>
      </w:tr>
    </w:tbl>
    <w:p>
      <w:pPr>
        <w:spacing w:after="100" w:before="160"/>
      </w:pPr>
      <w:r>
        <w:rPr>
          <w:rFonts w:ascii="Arial" w:cs="Arial" w:eastAsia="Arial" w:hAnsi="Arial"/>
          <w:b/>
          <w:bCs/>
          <w:color w:val="2E5266"/>
          <w:sz w:val="23"/>
          <w:szCs w:val="23"/>
        </w:rPr>
        <w:t xml:space="preserve">Требования к полену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В полене не должно быть гвоздей, камней и других посторонних предметов.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Торцы полена должны быть опилены ровно, перпендикулярно оси.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Сучья должны быть срезаны заподлицо со стволом.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Запрещается поправлять или выравнивать перекошенное полено во время колки.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5.  Подготовка к работе</w:t>
      </w:r>
    </w:p>
    <w:p>
      <w:pPr>
        <w:spacing w:after="12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Дровокол поступает потребителю в собранном виде. Перед первым запуском выполните следующие шаги.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Снимите заднюю крышку, закрывающую шкив.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Определите тип вала навески мотоблока.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Соедините вал мотоблока с креплением дровокола и зафиксируйте:</w:t>
      </w:r>
    </w:p>
    <w:p>
      <w:pPr>
        <w:spacing w:after="60"/>
        <w:ind w:left="460"/>
      </w:pPr>
      <w:r>
        <w:rPr>
          <w:rFonts w:ascii="Arial" w:cs="Arial" w:eastAsia="Arial" w:hAnsi="Arial"/>
          <w:sz w:val="21"/>
          <w:szCs w:val="21"/>
        </w:rPr>
        <w:t xml:space="preserve">— вариант </w:t>
      </w:r>
      <w:r>
        <w:rPr>
          <w:rFonts w:ascii="Arial" w:cs="Arial" w:eastAsia="Arial" w:hAnsi="Arial"/>
          <w:b/>
          <w:bCs/>
          <w:sz w:val="21"/>
          <w:szCs w:val="21"/>
        </w:rPr>
        <w:t xml:space="preserve">А — квадратная ось</w:t>
      </w:r>
      <w:r>
        <w:rPr>
          <w:rFonts w:ascii="Arial" w:cs="Arial" w:eastAsia="Arial" w:hAnsi="Arial"/>
          <w:sz w:val="21"/>
          <w:szCs w:val="21"/>
        </w:rPr>
        <w:t xml:space="preserve">: заведите ось в крепление и зафиксируйте двумя винтами через боковые пластины;</w:t>
      </w:r>
    </w:p>
    <w:p>
      <w:pPr>
        <w:spacing w:after="120"/>
        <w:ind w:left="460"/>
      </w:pPr>
      <w:r>
        <w:rPr>
          <w:rFonts w:ascii="Arial" w:cs="Arial" w:eastAsia="Arial" w:hAnsi="Arial"/>
          <w:sz w:val="21"/>
          <w:szCs w:val="21"/>
        </w:rPr>
        <w:t xml:space="preserve">— вариант </w:t>
      </w:r>
      <w:r>
        <w:rPr>
          <w:rFonts w:ascii="Arial" w:cs="Arial" w:eastAsia="Arial" w:hAnsi="Arial"/>
          <w:b/>
          <w:bCs/>
          <w:sz w:val="21"/>
          <w:szCs w:val="21"/>
        </w:rPr>
        <w:t xml:space="preserve">Б — круглая ось</w:t>
      </w:r>
      <w:r>
        <w:rPr>
          <w:rFonts w:ascii="Arial" w:cs="Arial" w:eastAsia="Arial" w:hAnsi="Arial"/>
          <w:sz w:val="21"/>
          <w:szCs w:val="21"/>
        </w:rPr>
        <w:t xml:space="preserve">: вставьте ось в трубу дровокола и зафиксируйте винтом (боковые пластины не нужны).</w:t>
      </w:r>
    </w:p>
    <w:p>
      <w:pPr>
        <w:spacing w:after="40" w:before="120"/>
        <w:jc w:val="center"/>
      </w:pPr>
      <w:r>
        <w:drawing>
          <wp:inline distT="0" distB="0" distL="0" distR="0">
            <wp:extent cx="5038725" cy="2771775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Arial" w:cs="Arial" w:eastAsia="Arial" w:hAnsi="Arial"/>
          <w:i/>
          <w:iCs/>
          <w:color w:val="5A6670"/>
          <w:sz w:val="18"/>
          <w:szCs w:val="18"/>
        </w:rPr>
        <w:t xml:space="preserve">Вариант А — крепление квадратной оси: фиксация двумя винтами через боковые пластины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Наденьте оба ремня (клиновые, профиль А, длина 1550 мм) и натяните их с помощью ручки натяжения.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Установите крышку на место.</w:t>
      </w:r>
    </w:p>
    <w:p>
      <w:pPr>
        <w:pStyle w:val="ListParagraph"/>
        <w:numPr>
          <w:ilvl w:val="0"/>
          <w:numId w:val="4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Запустите мотоблок и убедитесь, что конус вращается в сторону ввинчивания (резьба винта левая). Если вращение обратное — установите мотоблок с противоположной стороны: крышка шкива съёмная, подключение возможно с любой стороны.</w:t>
      </w:r>
    </w:p>
    <w:p>
      <w:r>
        <w:br w:type="page"/>
      </w:r>
    </w:p>
    <w:p>
      <w:pPr>
        <w:spacing w:after="160"/>
        <w:jc w:val="center"/>
      </w:pPr>
      <w:r>
        <w:rPr>
          <w:rFonts w:ascii="Arial" w:cs="Arial" w:eastAsia="Arial" w:hAnsi="Arial"/>
          <w:b/>
          <w:bCs/>
          <w:color w:val="1F2A33"/>
          <w:sz w:val="26"/>
          <w:szCs w:val="26"/>
        </w:rPr>
        <w:t xml:space="preserve">Принципиальная схема</w:t>
      </w:r>
    </w:p>
    <w:p>
      <w:pPr>
        <w:spacing w:after="60" w:before="60"/>
      </w:pPr>
      <w:r>
        <w:rPr>
          <w:rFonts w:ascii="Arial" w:cs="Arial" w:eastAsia="Arial" w:hAnsi="Arial"/>
          <w:b/>
          <w:bCs/>
          <w:color w:val="2E5266"/>
          <w:sz w:val="22"/>
          <w:szCs w:val="22"/>
        </w:rPr>
        <w:t xml:space="preserve">Вариант Б — крепление круглой оси</w:t>
      </w:r>
    </w:p>
    <w:p>
      <w:pPr>
        <w:spacing w:after="40" w:before="120"/>
        <w:jc w:val="center"/>
      </w:pPr>
      <w:r>
        <w:drawing>
          <wp:inline distT="0" distB="0" distL="0" distR="0">
            <wp:extent cx="5400675" cy="2800350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Arial" w:cs="Arial" w:eastAsia="Arial" w:hAnsi="Arial"/>
          <w:i/>
          <w:iCs/>
          <w:color w:val="5A6670"/>
          <w:sz w:val="18"/>
          <w:szCs w:val="18"/>
        </w:rPr>
        <w:t xml:space="preserve">Способ крепления круглой оси: фиксация винтом без боковых пластин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6.  Порядок работы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Уберите от рабочего места посторонние предметы.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Запустите мотоблок.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Установите рабочие обороты двигателя (точное значение не критично).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Сделайте пробную колку на мягкой древесине.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Не применяйте чрезмерную силу и избегайте сучковатых участков.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Держите бревно вертикально и подавайте его сбоку на конус. Подавать полено с торца запрещено.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Для облегчения колки крупных чурбаков уменьшите расстояние между конусом и столешницей, подложив один или несколько листов фанеры.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Конусная насадка самостоятельно втянет полено и расколет его.</w:t>
      </w:r>
    </w:p>
    <w:p>
      <w:pPr>
        <w:pStyle w:val="ListParagraph"/>
        <w:numPr>
          <w:ilvl w:val="0"/>
          <w:numId w:val="5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При заклинивании конуса выключите двигатель мотоблока и освободите полено при помощи ключа для расклинивания.</w:t>
      </w:r>
    </w:p>
    <w:p>
      <w:pPr>
        <w:spacing w:after="60" w:before="80"/>
        <w:jc w:val="center"/>
      </w:pPr>
      <w:r>
        <w:drawing>
          <wp:inline distT="0" distB="0" distL="0" distR="0">
            <wp:extent cx="3057525" cy="2057400"/>
            <wp:effectExtent t="0" r="0" b="0" l="0"/>
            <wp:docPr id="1" name="img" descr="Мото-колун" title="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center"/>
      </w:pPr>
      <w:r>
        <w:rPr>
          <w:rFonts w:ascii="Arial" w:cs="Arial" w:eastAsia="Arial" w:hAnsi="Arial"/>
          <w:i/>
          <w:iCs/>
          <w:color w:val="5A6670"/>
          <w:sz w:val="18"/>
          <w:szCs w:val="18"/>
        </w:rPr>
        <w:t xml:space="preserve">Рабочее положение: бревно подаётся на конус сбоку, вертикально</w:t>
      </w:r>
    </w:p>
    <w:p>
      <w:pPr>
        <w:spacing w:after="100" w:before="100"/>
      </w:pP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638"/>
      </w:tblGrid>
      <w:tr>
        <w:tc>
          <w:tcPr>
            <w:tcW w:type="dxa" w:w="9638"/>
            <w:tcBorders>
              <w:top w:val="single" w:color="C8102E" w:sz="4"/>
              <w:left w:val="single" w:color="C8102E" w:sz="18"/>
              <w:bottom w:val="single" w:color="C8102E" w:sz="4"/>
              <w:right w:val="single" w:color="C8102E" w:sz="4"/>
            </w:tcBorders>
            <w:shd w:fill="FBEAEC" w:val="clear"/>
            <w:tcMar>
              <w:top w:type="dxa" w:w="140"/>
              <w:left w:type="dxa" w:w="200"/>
              <w:bottom w:type="dxa" w:w="140"/>
              <w:right w:type="dxa" w:w="200"/>
            </w:tcMar>
          </w:tcPr>
          <w:p>
            <w:pPr>
              <w:spacing w:after="60"/>
            </w:pPr>
            <w:r>
              <w:rPr>
                <w:rFonts w:ascii="Arial" w:cs="Arial" w:eastAsia="Arial" w:hAnsi="Arial"/>
                <w:b/>
                <w:bCs/>
                <w:color w:val="C8102E"/>
                <w:sz w:val="22"/>
                <w:szCs w:val="22"/>
              </w:rPr>
              <w:t xml:space="preserve">⚠  Внимание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Не пытайтесь выбить застрявшее бревно ударным инструментом — используйте ключ для расклинивания.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Если конус не может расколоть бревно, немедленно остановите работу, иначе дровокол может выйти из строя. Переверните бревно другим торцом и попробуйте снова.</w:t>
            </w:r>
          </w:p>
          <w:p>
            <w:pPr>
              <w:pStyle w:val="ListParagraph"/>
              <w:numPr>
                <w:ilvl w:val="0"/>
                <w:numId w:val="3"/>
              </w:numPr>
              <w:spacing w:after="40"/>
            </w:pPr>
            <w:r>
              <w:rPr>
                <w:rFonts w:ascii="Arial" w:cs="Arial" w:eastAsia="Arial" w:hAnsi="Arial"/>
                <w:color w:val="1F2A33"/>
                <w:sz w:val="20"/>
                <w:szCs w:val="20"/>
              </w:rPr>
              <w:t xml:space="preserve">Если бревно не раскалывается и в этом случае — его плотность превышает мощность дровокола; такое бревно колоть не следует. Выход из строя по этой причине не является гарантийным случаем.</w:t>
            </w:r>
          </w:p>
        </w:tc>
      </w:tr>
    </w:tbl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7.  Техническое обслуживание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Перед каждым запуском проверяйте крепления.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Делайте перерывы для охлаждения двигателя.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Регулярно очищайте корпус и ремень от пыли.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Смазывайте подшипники через тавотницу.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При появлении посторонних звуков или запахов немедленно выключите устройство и устраните причину.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8.  Поиск и устранение неисправностей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00"/>
        <w:gridCol w:w="3200"/>
        <w:gridCol w:w="3238"/>
      </w:tblGrid>
      <w:tr>
        <w:trPr>
          <w:tblHeader/>
        </w:trPr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2E5266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FFFFFF"/>
                <w:sz w:val="20"/>
                <w:szCs w:val="20"/>
              </w:rPr>
              <w:t xml:space="preserve">Признак</w:t>
            </w:r>
          </w:p>
        </w:tc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2E5266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FFFFFF"/>
                <w:sz w:val="20"/>
                <w:szCs w:val="20"/>
              </w:rPr>
              <w:t xml:space="preserve">Причина</w:t>
            </w:r>
          </w:p>
        </w:tc>
        <w:tc>
          <w:tcPr>
            <w:tcW w:type="dxa" w:w="3238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2E5266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FFFFFF"/>
                <w:sz w:val="20"/>
                <w:szCs w:val="20"/>
              </w:rPr>
              <w:t xml:space="preserve">Решение</w:t>
            </w:r>
          </w:p>
        </w:tc>
      </w:tr>
      <w:tr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Конус не вращается, заклинило</w:t>
            </w:r>
          </w:p>
        </w:tc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Застревание чурбака</w:t>
            </w:r>
          </w:p>
        </w:tc>
        <w:tc>
          <w:tcPr>
            <w:tcW w:type="dxa" w:w="3238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Выкрутить ключом для расклинивания</w:t>
            </w:r>
          </w:p>
        </w:tc>
      </w:tr>
      <w:tr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Древесина не раскалывается</w:t>
            </w:r>
          </w:p>
        </w:tc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Недостаточное натяжение ремня</w:t>
            </w:r>
          </w:p>
        </w:tc>
        <w:tc>
          <w:tcPr>
            <w:tcW w:type="dxa" w:w="3238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Натянуть ремень</w:t>
            </w:r>
          </w:p>
        </w:tc>
      </w:tr>
      <w:tr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Древесина не раскалывается</w:t>
            </w:r>
          </w:p>
        </w:tc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Диаметр или твёрдость полена превышают допустимые</w:t>
            </w:r>
          </w:p>
        </w:tc>
        <w:tc>
          <w:tcPr>
            <w:tcW w:type="dxa" w:w="3238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Взять полено меньшего диаметра, колоть по краю</w:t>
            </w:r>
          </w:p>
        </w:tc>
      </w:tr>
      <w:tr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Древесина не раскалывается</w:t>
            </w:r>
          </w:p>
        </w:tc>
        <w:tc>
          <w:tcPr>
            <w:tcW w:type="dxa" w:w="3200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Полено сучковатое</w:t>
            </w:r>
          </w:p>
        </w:tc>
        <w:tc>
          <w:tcPr>
            <w:tcW w:type="dxa" w:w="3238"/>
            <w:tcBorders>
              <w:top w:val="single" w:color="FFFFFF" w:sz="2"/>
              <w:left w:val="single" w:color="FFFFFF" w:sz="2"/>
              <w:bottom w:val="single" w:color="FFFFFF" w:sz="2"/>
              <w:right w:val="single" w:color="FFFFFF" w:sz="2"/>
            </w:tcBorders>
            <w:shd w:fill="FFFFF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19"/>
                <w:szCs w:val="19"/>
              </w:rPr>
              <w:t xml:space="preserve">Повернуть полено, выбрать участок без сучков; подложить фанеру под чурбак</w:t>
            </w:r>
          </w:p>
        </w:tc>
      </w:tr>
    </w:tbl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9.  Транспортировка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Изделие транспортируется всеми видами закрытого транспорта.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Температурный диапазон: от −20 °C до +55 °C.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Не допускаются удары, вибрации и воздействие осадков.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10.  Хранение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Храните дровокол при температуре от −20 °C до +40 °C и влажности не более 80 %.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Место хранения должно быть сухим и недоступным для детей.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11.  Реализация и утилизация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Оборудование реализуется через торговые сети в соответствии с законодательством РФ.</w:t>
      </w:r>
    </w:p>
    <w:p>
      <w:pPr>
        <w:pStyle w:val="ListParagraph"/>
        <w:numPr>
          <w:ilvl w:val="0"/>
          <w:numId w:val="2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Утилизация производится согласно требованиям экологических и санитарных норм.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12.  Срок службы</w:t>
      </w:r>
    </w:p>
    <w:p>
      <w:pPr>
        <w:spacing w:after="12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Гарантийный срок службы при соблюдении правил эксплуатации составляет 5 лет.</w:t>
      </w:r>
    </w:p>
    <w:p>
      <w:pPr>
        <w:pStyle w:val="Heading1"/>
        <w:pBdr>
          <w:bottom w:val="single" w:color="2E5266" w:sz="12" w:space="6"/>
        </w:pBdr>
        <w:spacing w:after="200" w:before="60"/>
      </w:pPr>
      <w:r>
        <w:rPr>
          <w:rFonts w:ascii="Arial" w:cs="Arial" w:eastAsia="Arial" w:hAnsi="Arial"/>
          <w:b/>
          <w:bCs/>
          <w:color w:val="1F2A33"/>
          <w:sz w:val="30"/>
          <w:szCs w:val="30"/>
        </w:rPr>
        <w:t xml:space="preserve">13.  Гарантийные обязательства</w:t>
      </w:r>
    </w:p>
    <w:p>
      <w:pPr>
        <w:spacing w:after="12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Изделие имеет гарантию производителя сроком 1 год со дня продажи. Гарантия не распространяется на:</w:t>
      </w:r>
    </w:p>
    <w:p>
      <w:pPr>
        <w:pStyle w:val="ListParagraph"/>
        <w:numPr>
          <w:ilvl w:val="0"/>
          <w:numId w:val="6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естественный износ расходных материалов;</w:t>
      </w:r>
    </w:p>
    <w:p>
      <w:pPr>
        <w:pStyle w:val="ListParagraph"/>
        <w:numPr>
          <w:ilvl w:val="0"/>
          <w:numId w:val="6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повреждения, вызванные перегрузкой или нарушением правил эксплуатации;</w:t>
      </w:r>
    </w:p>
    <w:p>
      <w:pPr>
        <w:pStyle w:val="ListParagraph"/>
        <w:numPr>
          <w:ilvl w:val="0"/>
          <w:numId w:val="6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механические повреждения;</w:t>
      </w:r>
    </w:p>
    <w:p>
      <w:pPr>
        <w:pStyle w:val="ListParagraph"/>
        <w:numPr>
          <w:ilvl w:val="0"/>
          <w:numId w:val="6"/>
        </w:numPr>
        <w:spacing w:after="80" w:line="264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форс-мажорные обстоятельства (пожары, наводнения и т. п.).</w:t>
      </w:r>
    </w:p>
    <w:p>
      <w:pPr>
        <w:spacing w:after="240" w:line="276"/>
        <w:jc w:val="both"/>
      </w:pPr>
      <w:r>
        <w:rPr>
          <w:rFonts w:ascii="Arial" w:cs="Arial" w:eastAsia="Arial" w:hAnsi="Arial"/>
          <w:color w:val="2B2B2B"/>
          <w:sz w:val="21"/>
          <w:szCs w:val="21"/>
        </w:rPr>
        <w:t xml:space="preserve">Руководство по эксплуатации не отражает незначительных конструктивных изменений, внесённых изготовителем после подписания к выпуску, а также изменений по комплектующим и документации, получаемой с ними.</w:t>
      </w:r>
    </w:p>
    <w:tbl>
      <w:tblPr>
        <w:tblW w:type="dxa" w:w="9638"/>
        <w:tblBorders>
          <w:top w:val="single" w:color="2E5266" w:sz="4"/>
          <w:left w:val="single" w:color="2E5266" w:sz="4"/>
          <w:bottom w:val="single" w:color="2E5266" w:sz="4"/>
          <w:right w:val="single" w:color="2E5266" w:sz="4"/>
          <w:insideH w:val="single" w:color="CCCCCC" w:sz="2"/>
          <w:insideV w:val="single" w:color="CCCCCC" w:sz="2"/>
        </w:tblBorders>
      </w:tblPr>
      <w:tblGrid>
        <w:gridCol w:w="3000"/>
        <w:gridCol w:w="6638"/>
      </w:tblGrid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Производитель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ООО «Малекс»</w:t>
            </w:r>
          </w:p>
        </w:tc>
      </w:tr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Адрес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г. Екатеринбург, Верхняя Пышма,</w:t>
            </w:r>
          </w:p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Успенский проспект, 131, завод ОЦМ-УЗХР</w:t>
            </w:r>
          </w:p>
        </w:tc>
      </w:tr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Телефон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+7 (922) 035-28-87</w:t>
            </w:r>
          </w:p>
        </w:tc>
      </w:tr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Сайт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oDrova.ru</w:t>
            </w:r>
          </w:p>
        </w:tc>
      </w:tr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E-mail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odrovaru@ya.ru</w:t>
            </w:r>
          </w:p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a8m888@gmail.com</w:t>
            </w:r>
          </w:p>
        </w:tc>
      </w:tr>
      <w:tr>
        <w:tc>
          <w:tcPr>
            <w:tcW w:type="dxa" w:w="3000"/>
            <w:shd w:fill="EAEDEF" w:val="clear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b/>
                <w:bCs/>
                <w:color w:val="1F2A33"/>
                <w:sz w:val="20"/>
                <w:szCs w:val="20"/>
              </w:rPr>
              <w:t xml:space="preserve">Как добраться</w:t>
            </w:r>
          </w:p>
        </w:tc>
        <w:tc>
          <w:tcPr>
            <w:tcW w:type="dxa" w:w="6638"/>
            <w:tcMar>
              <w:top w:type="dxa" w:w="70"/>
              <w:left w:type="dxa" w:w="130"/>
              <w:bottom w:type="dxa" w:w="70"/>
              <w:right w:type="dxa" w:w="130"/>
            </w:tcMar>
          </w:tcPr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от метро «Уралмаш» автобусом № 111 или № 223</w:t>
            </w:r>
          </w:p>
          <w:p>
            <w:r>
              <w:rPr>
                <w:rFonts w:ascii="Arial" w:cs="Arial" w:eastAsia="Arial" w:hAnsi="Arial"/>
                <w:color w:val="2B2B2B"/>
                <w:sz w:val="20"/>
                <w:szCs w:val="20"/>
              </w:rPr>
              <w:t xml:space="preserve">до остановки «УЗХР-ОЦМ Плаурум»</w:t>
            </w:r>
          </w:p>
        </w:tc>
      </w:tr>
    </w:tbl>
    <w:p>
      <w:pPr>
        <w:pBdr>
          <w:bottom w:val="single" w:color="2E5266" w:sz="12" w:space="6"/>
        </w:pBdr>
        <w:spacing w:after="160" w:before="320"/>
      </w:pPr>
      <w:r>
        <w:rPr>
          <w:rFonts w:ascii="Arial" w:cs="Arial" w:eastAsia="Arial" w:hAnsi="Arial"/>
          <w:b/>
          <w:bCs/>
          <w:color w:val="1F2A33"/>
          <w:sz w:val="26"/>
          <w:szCs w:val="26"/>
        </w:rPr>
        <w:t xml:space="preserve">ДЛЯ ЗАМЕТОК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p>
      <w:pPr>
        <w:tabs>
          <w:tab w:val="right" w:pos="9638" w:leader="underscore"/>
        </w:tabs>
        <w:spacing w:after="300" w:before="0"/>
      </w:pPr>
      <w:r>
        <w:rPr>
          <w:color w:val="8E99A1"/>
          <w:sz w:val="22"/>
          <w:szCs w:val="22"/>
        </w:rPr>
        <w:t xml:space="preserve">	</w:t>
      </w:r>
    </w:p>
    <w:sectPr>
      <w:headerReference w:type="default" r:id="rId7"/>
      <w:footerReference w:type="default" r:id="rId8"/>
      <w:pgSz w:w="11906" w:h="16838" w:orient="portrait"/>
      <w:pgMar w:top="1700" w:right="1134" w:bottom="1400" w:left="1134" w:header="720" w:footer="680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Bdr>
        <w:top w:val="single" w:color="2E5266" w:sz="6" w:space="6"/>
      </w:pBdr>
      <w:jc w:val="center"/>
    </w:pPr>
    <w:r>
      <w:rPr>
        <w:rFonts w:ascii="Arial" w:cs="Arial" w:eastAsia="Arial" w:hAnsi="Arial"/>
        <w:color w:val="5A6670"/>
        <w:sz w:val="15"/>
        <w:szCs w:val="15"/>
      </w:rPr>
      <w:t xml:space="preserve">Мото-колун  ·  oDrova.ru  ·  </w:t>
    </w:r>
    <w:r>
      <w:rPr>
        <w:rFonts w:ascii="Arial" w:cs="Arial" w:eastAsia="Arial" w:hAnsi="Arial"/>
        <w:color w:val="5A6670"/>
        <w:sz w:val="15"/>
        <w:szCs w:val="15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Bdr>
        <w:bottom w:val="single" w:color="2E5266" w:sz="6" w:space="6"/>
      </w:pBdr>
      <w:tabs>
        <w:tab w:val="right" w:pos="9638"/>
      </w:tabs>
    </w:pPr>
    <w:r>
      <w:drawing>
        <wp:inline distT="0" distB="0" distL="0" distR="0">
          <wp:extent cx="1295400" cy="257175"/>
          <wp:effectExtent t="0" r="0" b="0" l="0"/>
          <wp:docPr id="1" name="img" descr="Мото-колун" title="Иллюстрац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cs="Arial" w:eastAsia="Arial" w:hAnsi="Arial"/>
        <w:color w:val="5A6670"/>
        <w:sz w:val="16"/>
        <w:szCs w:val="16"/>
      </w:rPr>
      <w:t xml:space="preserve">	</w:t>
      <w:t xml:space="preserve">Руководство по эксплуатации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▪"/>
      <w:lvlJc w:val="left"/>
      <w:pPr>
        <w:ind w:left="460" w:hanging="260"/>
      </w:pPr>
      <w:rPr>
        <w:color w:val="2E5266"/>
      </w:rPr>
    </w:lvl>
  </w:abstractNum>
  <w:abstractNum w:abstractNumId="3" w15:restartNumberingAfterBreak="0">
    <w:multiLevelType w:val="hybridMultilevel"/>
    <w:lvl w:ilvl="0" w15:tentative="1">
      <w:start w:val="1"/>
      <w:numFmt w:val="bullet"/>
      <w:lvlText w:val="–"/>
      <w:lvlJc w:val="left"/>
      <w:pPr>
        <w:ind w:left="360" w:hanging="220"/>
      </w:pPr>
    </w:lvl>
  </w:abstractNum>
  <w:abstractNum w:abstractNumId="4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460" w:hanging="360"/>
      </w:pPr>
      <w:rPr>
        <w:b/>
        <w:bCs/>
        <w:color w:val="2E5266"/>
      </w:rPr>
    </w:lvl>
  </w:abstractNum>
  <w:abstractNum w:abstractNumId="5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460" w:hanging="360"/>
      </w:pPr>
      <w:rPr>
        <w:b/>
        <w:bCs/>
        <w:color w:val="2E5266"/>
      </w:rPr>
    </w:lvl>
  </w:abstractNum>
  <w:abstractNum w:abstractNumId="6" w15:restartNumberingAfterBreak="0">
    <w:multiLevelType w:val="hybridMultilevel"/>
    <w:lvl w:ilvl="0" w15:tentative="1">
      <w:start w:val="1"/>
      <w:numFmt w:val="bullet"/>
      <w:lvlText w:val="▪"/>
      <w:lvlJc w:val="left"/>
      <w:pPr>
        <w:ind w:left="460" w:hanging="260"/>
      </w:pPr>
      <w:rPr>
        <w:color w:val="2E5266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color w:val="2B2B2B"/>
        <w:sz w:val="21"/>
        <w:szCs w:val="21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60"/>
      <w:outlineLvl w:val="0"/>
    </w:pPr>
    <w:rPr>
      <w:rFonts w:ascii="Arial" w:cs="Arial" w:eastAsia="Arial" w:hAnsi="Arial"/>
      <w:b/>
      <w:bCs/>
      <w:color w:val="1F2A33"/>
      <w:sz w:val="30"/>
      <w:szCs w:val="3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0463c141731ae21f9b0243c3334344e79822a332.png"/><Relationship Id="rId10" Type="http://schemas.openxmlformats.org/officeDocument/2006/relationships/image" Target="media/f30fb68ed9c4005f4567d2ab84dbe072c5bdbe28.png"/><Relationship Id="rId11" Type="http://schemas.openxmlformats.org/officeDocument/2006/relationships/image" Target="media/be16fd16fe4c722c254791b8487955909bdd052a.png"/><Relationship Id="rId12" Type="http://schemas.openxmlformats.org/officeDocument/2006/relationships/image" Target="media/c727626b0d91feba86fb145eb748aeca9d99f157.png"/><Relationship Id="rId13" Type="http://schemas.openxmlformats.org/officeDocument/2006/relationships/image" Target="media/1a3b5b3fb7da9e8b5edcdd37edb780ddf5ee364e.png"/><Relationship Id="rId14" Type="http://schemas.openxmlformats.org/officeDocument/2006/relationships/image" Target="media/babbb2064bf7bc5f741166653c4fcc554146ae67.png"/><Relationship Id="rId15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63f3dad1ca50b6d9505786acdae96bd5c72a343f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эксплуатации</dc:title>
  <dc:creator>Мото-колун</dc:creator>
  <cp:lastModifiedBy>Un-named</cp:lastModifiedBy>
  <cp:revision>1</cp:revision>
  <dcterms:created xsi:type="dcterms:W3CDTF">2026-06-19T09:17:14.173Z</dcterms:created>
  <dcterms:modified xsi:type="dcterms:W3CDTF">2026-06-19T09:17:14.193Z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